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Jasnecieniowanieakcent2"/>
        <w:tblW w:w="0" w:type="auto"/>
        <w:tblLayout w:type="fixed"/>
        <w:tblLook w:val="04A0"/>
      </w:tblPr>
      <w:tblGrid>
        <w:gridCol w:w="1107"/>
        <w:gridCol w:w="135"/>
        <w:gridCol w:w="2030"/>
        <w:gridCol w:w="6"/>
        <w:gridCol w:w="1871"/>
        <w:gridCol w:w="6"/>
        <w:gridCol w:w="1846"/>
        <w:gridCol w:w="6"/>
        <w:gridCol w:w="1465"/>
        <w:gridCol w:w="57"/>
        <w:gridCol w:w="6"/>
      </w:tblGrid>
      <w:tr w:rsidR="00D503C4" w:rsidRPr="00D503C4" w:rsidTr="00D503C4">
        <w:trPr>
          <w:cnfStyle w:val="100000000000"/>
        </w:trPr>
        <w:tc>
          <w:tcPr>
            <w:cnfStyle w:val="001000000000"/>
            <w:tcW w:w="1107" w:type="dxa"/>
            <w:hideMark/>
          </w:tcPr>
          <w:p w:rsidR="00D503C4" w:rsidRPr="00D503C4" w:rsidRDefault="00D503C4" w:rsidP="00D503C4">
            <w:pPr>
              <w:jc w:val="center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Typ</w:t>
            </w:r>
          </w:p>
        </w:tc>
        <w:tc>
          <w:tcPr>
            <w:tcW w:w="2171" w:type="dxa"/>
            <w:gridSpan w:val="3"/>
            <w:hideMark/>
          </w:tcPr>
          <w:p w:rsidR="00D503C4" w:rsidRPr="00D503C4" w:rsidRDefault="00D503C4" w:rsidP="00D503C4">
            <w:pPr>
              <w:jc w:val="center"/>
              <w:cnfStyle w:val="100000000000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Charakterystyka</w:t>
            </w:r>
          </w:p>
        </w:tc>
        <w:tc>
          <w:tcPr>
            <w:tcW w:w="1877" w:type="dxa"/>
            <w:gridSpan w:val="2"/>
            <w:hideMark/>
          </w:tcPr>
          <w:p w:rsidR="00D503C4" w:rsidRPr="00D503C4" w:rsidRDefault="00D503C4" w:rsidP="00D503C4">
            <w:pPr>
              <w:jc w:val="center"/>
              <w:cnfStyle w:val="100000000000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Objaśnienie</w:t>
            </w:r>
          </w:p>
        </w:tc>
        <w:tc>
          <w:tcPr>
            <w:tcW w:w="1852" w:type="dxa"/>
            <w:gridSpan w:val="2"/>
            <w:hideMark/>
          </w:tcPr>
          <w:p w:rsidR="00D503C4" w:rsidRPr="00D503C4" w:rsidRDefault="00D503C4" w:rsidP="00D503C4">
            <w:pPr>
              <w:jc w:val="center"/>
              <w:cnfStyle w:val="100000000000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Roślinność</w:t>
            </w:r>
          </w:p>
        </w:tc>
        <w:tc>
          <w:tcPr>
            <w:tcW w:w="1528" w:type="dxa"/>
            <w:gridSpan w:val="3"/>
            <w:hideMark/>
          </w:tcPr>
          <w:p w:rsidR="00D503C4" w:rsidRPr="00D503C4" w:rsidRDefault="00D503C4" w:rsidP="00D503C4">
            <w:pPr>
              <w:jc w:val="center"/>
              <w:cnfStyle w:val="100000000000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Przykład</w:t>
            </w:r>
          </w:p>
        </w:tc>
      </w:tr>
      <w:tr w:rsidR="00D503C4" w:rsidRPr="00D503C4" w:rsidTr="00D503C4">
        <w:trPr>
          <w:gridAfter w:val="2"/>
          <w:cnfStyle w:val="000000100000"/>
          <w:wAfter w:w="63" w:type="dxa"/>
        </w:trPr>
        <w:tc>
          <w:tcPr>
            <w:cnfStyle w:val="001000000000"/>
            <w:tcW w:w="8472" w:type="dxa"/>
            <w:gridSpan w:val="9"/>
            <w:hideMark/>
          </w:tcPr>
          <w:p w:rsidR="00D503C4" w:rsidRPr="00D503C4" w:rsidRDefault="00D503C4" w:rsidP="00D503C4">
            <w:pPr>
              <w:jc w:val="center"/>
              <w:rPr>
                <w:rFonts w:ascii="Verdana" w:eastAsia="Times New Roman" w:hAnsi="Verdana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="Verdana" w:eastAsia="Times New Roman" w:hAnsi="Verdana" w:cs="Times New Roman"/>
                <w:color w:val="auto"/>
                <w:sz w:val="17"/>
                <w:lang w:eastAsia="pl-PL"/>
              </w:rPr>
              <w:t>Pustynie występujące na obszarach wyżynnych i na przedgórzach</w:t>
            </w:r>
          </w:p>
        </w:tc>
      </w:tr>
      <w:tr w:rsidR="00D503C4" w:rsidRPr="00D503C4" w:rsidTr="00D503C4">
        <w:trPr>
          <w:gridAfter w:val="1"/>
          <w:wAfter w:w="6" w:type="dxa"/>
        </w:trPr>
        <w:tc>
          <w:tcPr>
            <w:cnfStyle w:val="001000000000"/>
            <w:tcW w:w="124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lang w:eastAsia="pl-PL"/>
              </w:rPr>
              <w:t>Kamienista</w:t>
            </w:r>
          </w:p>
        </w:tc>
        <w:tc>
          <w:tcPr>
            <w:tcW w:w="2030" w:type="dxa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powierzchnia pokryta blokami skalnymi, porozcinana dolinami okresowych rzek; brak piasku i pyłu</w:t>
            </w:r>
          </w:p>
        </w:tc>
        <w:tc>
          <w:tcPr>
            <w:tcW w:w="1877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obrywanie bloków skalnych na skutek dużych dobowych wahań temperatury (wietrzenie fizyczne); gruz skalny podlega szlifowaniu, a drobniejsze okruchy są wywiewane przez wiatr</w:t>
            </w:r>
          </w:p>
        </w:tc>
        <w:tc>
          <w:tcPr>
            <w:tcW w:w="185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kolczaste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suchorośla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, występujące tylko w szczelinach skalnych i wąwozach</w:t>
            </w:r>
          </w:p>
        </w:tc>
        <w:tc>
          <w:tcPr>
            <w:tcW w:w="1528" w:type="dxa"/>
            <w:gridSpan w:val="3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Al-Hamada,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Al-Hamra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(Libia), płaskowyż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Ustiurt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(Azja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Środk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. — Kazachstan, Uzbekistan),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Nanszan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, wsch.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Tien-szan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, (Azja Centralna — Chiny)</w:t>
            </w:r>
          </w:p>
        </w:tc>
      </w:tr>
      <w:tr w:rsidR="00D503C4" w:rsidRPr="00D503C4" w:rsidTr="00D503C4">
        <w:trPr>
          <w:gridAfter w:val="1"/>
          <w:cnfStyle w:val="000000100000"/>
          <w:wAfter w:w="6" w:type="dxa"/>
        </w:trPr>
        <w:tc>
          <w:tcPr>
            <w:cnfStyle w:val="001000000000"/>
            <w:tcW w:w="124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lang w:eastAsia="pl-PL"/>
              </w:rPr>
              <w:t>Żwirowa</w:t>
            </w:r>
          </w:p>
        </w:tc>
        <w:tc>
          <w:tcPr>
            <w:tcW w:w="2030" w:type="dxa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płaski obszar pokryty obtoczonymi drobnymi kamieniami i żwirem, zwykle barwy czerwonawej</w:t>
            </w:r>
          </w:p>
        </w:tc>
        <w:tc>
          <w:tcPr>
            <w:tcW w:w="1877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materiał pochodzi z wietrzenia skał i nanosów rzecznych; wiejące wiatry wygładzają okruchy skalne i wywiewają drobniejsze ich części</w:t>
            </w:r>
          </w:p>
        </w:tc>
        <w:tc>
          <w:tcPr>
            <w:tcW w:w="185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występuje głównie w dolinach wypełnionych piaskami</w:t>
            </w:r>
          </w:p>
        </w:tc>
        <w:tc>
          <w:tcPr>
            <w:tcW w:w="1528" w:type="dxa"/>
            <w:gridSpan w:val="3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Gobi Mongolska (Azja Cen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tral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na), Pustynia Simpsona (Australia), Ałaszan (Azja Centralna)</w:t>
            </w:r>
          </w:p>
        </w:tc>
      </w:tr>
      <w:tr w:rsidR="00D503C4" w:rsidRPr="00D503C4" w:rsidTr="00D503C4">
        <w:trPr>
          <w:gridAfter w:val="2"/>
          <w:wAfter w:w="63" w:type="dxa"/>
        </w:trPr>
        <w:tc>
          <w:tcPr>
            <w:cnfStyle w:val="001000000000"/>
            <w:tcW w:w="8472" w:type="dxa"/>
            <w:gridSpan w:val="9"/>
            <w:vAlign w:val="center"/>
            <w:hideMark/>
          </w:tcPr>
          <w:p w:rsidR="00D503C4" w:rsidRPr="00D503C4" w:rsidRDefault="00D503C4" w:rsidP="00D503C4">
            <w:pPr>
              <w:jc w:val="center"/>
              <w:rPr>
                <w:rFonts w:asciiTheme="majorHAnsi" w:eastAsia="Times New Roman" w:hAnsiTheme="majorHAnsi" w:cs="Times New Roman"/>
                <w:color w:val="auto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lang w:eastAsia="pl-PL"/>
              </w:rPr>
              <w:t>Pustynie występujące na nizinach</w:t>
            </w:r>
          </w:p>
        </w:tc>
      </w:tr>
      <w:tr w:rsidR="00D503C4" w:rsidRPr="00D503C4" w:rsidTr="00D503C4">
        <w:trPr>
          <w:cnfStyle w:val="000000100000"/>
        </w:trPr>
        <w:tc>
          <w:tcPr>
            <w:cnfStyle w:val="001000000000"/>
            <w:tcW w:w="124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lang w:eastAsia="pl-PL"/>
              </w:rPr>
              <w:t>Piaszczysta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obszar piaszczysty z licznymi wzniesie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nia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mi w postaci ruchomych wydm</w:t>
            </w:r>
          </w:p>
        </w:tc>
        <w:tc>
          <w:tcPr>
            <w:tcW w:w="1877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rozległe obniżenia terenu wypełnione piaskami pochodzenia rzeczne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go i morskiego; piaski podle</w:t>
            </w: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softHyphen/>
              <w:t>gają stałemu przemieszczaniu przez wiatr</w:t>
            </w:r>
          </w:p>
        </w:tc>
        <w:tc>
          <w:tcPr>
            <w:tcW w:w="185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w obniżeniach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międzywydmowych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(woda łatwo wnika w piaski, co hamuje parowanie)</w:t>
            </w:r>
          </w:p>
        </w:tc>
        <w:tc>
          <w:tcPr>
            <w:tcW w:w="1528" w:type="dxa"/>
            <w:gridSpan w:val="3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1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Wielki Erg Zachodni, Wielki Erg Wschodni (pn. Sahara), Wielka Pustynia Piaszczysta (Australia), Kara-Kum (Azja)</w:t>
            </w:r>
          </w:p>
        </w:tc>
      </w:tr>
      <w:tr w:rsidR="00D503C4" w:rsidRPr="00D503C4" w:rsidTr="00D503C4">
        <w:tc>
          <w:tcPr>
            <w:cnfStyle w:val="001000000000"/>
            <w:tcW w:w="124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lang w:eastAsia="pl-PL"/>
              </w:rPr>
              <w:t>Pylasta</w:t>
            </w:r>
          </w:p>
        </w:tc>
        <w:tc>
          <w:tcPr>
            <w:tcW w:w="2036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niewielka powierzchnia w czasie suszy pokryta spękanym iłem, z wytrąceniami wapienia, gipsu, soli kuchennej, po epizodycznych deszczach zmienia się w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trżęsawisko</w:t>
            </w:r>
            <w:proofErr w:type="spellEnd"/>
          </w:p>
        </w:tc>
        <w:tc>
          <w:tcPr>
            <w:tcW w:w="1877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środkowa część kotliny wypełniona osadami ilastymi przyniesionymi przez wiatr oraz wody okresowe; płytko zalegające wody gruntowe ulegają wysychaniu, dochodzi do wytrąceń soli</w:t>
            </w:r>
          </w:p>
        </w:tc>
        <w:tc>
          <w:tcPr>
            <w:tcW w:w="1852" w:type="dxa"/>
            <w:gridSpan w:val="2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brak pokrywy roślinnej</w:t>
            </w:r>
          </w:p>
        </w:tc>
        <w:tc>
          <w:tcPr>
            <w:tcW w:w="1528" w:type="dxa"/>
            <w:gridSpan w:val="3"/>
            <w:vAlign w:val="center"/>
            <w:hideMark/>
          </w:tcPr>
          <w:p w:rsidR="00D503C4" w:rsidRPr="00D503C4" w:rsidRDefault="00D503C4" w:rsidP="00D503C4">
            <w:pPr>
              <w:jc w:val="center"/>
              <w:cnfStyle w:val="000000000000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</w:pPr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niewielkie obniżenia w obrębie innych rodzajów pustyń np.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Szatt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al-Dżarid (Tunezja),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Szatt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Malghigh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(Algieria),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Dasht-e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Kawir (Wyż. Irańska), </w:t>
            </w:r>
            <w:proofErr w:type="spellStart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>Minbułak</w:t>
            </w:r>
            <w:proofErr w:type="spellEnd"/>
            <w:r w:rsidRPr="00D503C4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  <w:lang w:eastAsia="pl-PL"/>
              </w:rPr>
              <w:t xml:space="preserve"> (Kyzył-Kum)</w:t>
            </w:r>
          </w:p>
        </w:tc>
      </w:tr>
    </w:tbl>
    <w:p w:rsidR="005715AE" w:rsidRPr="00FE111D" w:rsidRDefault="005715AE" w:rsidP="00FE111D"/>
    <w:sectPr w:rsidR="005715AE" w:rsidRPr="00FE111D" w:rsidSect="00FE111D">
      <w:pgSz w:w="11906" w:h="16838"/>
      <w:pgMar w:top="1417" w:right="99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51BE"/>
    <w:multiLevelType w:val="multilevel"/>
    <w:tmpl w:val="56F2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3FA0"/>
    <w:multiLevelType w:val="multilevel"/>
    <w:tmpl w:val="3924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B231C5"/>
    <w:multiLevelType w:val="hybridMultilevel"/>
    <w:tmpl w:val="082CE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3568C"/>
    <w:multiLevelType w:val="hybridMultilevel"/>
    <w:tmpl w:val="22D47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33173E"/>
    <w:multiLevelType w:val="multilevel"/>
    <w:tmpl w:val="4FB6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A700DB"/>
    <w:multiLevelType w:val="hybridMultilevel"/>
    <w:tmpl w:val="0EFC4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1E08"/>
    <w:rsid w:val="00100CB0"/>
    <w:rsid w:val="005715AE"/>
    <w:rsid w:val="005C1E08"/>
    <w:rsid w:val="00D503C4"/>
    <w:rsid w:val="00FE1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AE"/>
  </w:style>
  <w:style w:type="paragraph" w:styleId="Nagwek2">
    <w:name w:val="heading 2"/>
    <w:basedOn w:val="Normalny"/>
    <w:link w:val="Nagwek2Znak"/>
    <w:uiPriority w:val="9"/>
    <w:qFormat/>
    <w:rsid w:val="005C1E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1E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omylnaczcionkaakapitu"/>
    <w:rsid w:val="005C1E08"/>
  </w:style>
  <w:style w:type="character" w:styleId="Pogrubienie">
    <w:name w:val="Strong"/>
    <w:basedOn w:val="Domylnaczcionkaakapitu"/>
    <w:uiPriority w:val="22"/>
    <w:qFormat/>
    <w:rsid w:val="005C1E08"/>
    <w:rPr>
      <w:b/>
      <w:bCs/>
    </w:rPr>
  </w:style>
  <w:style w:type="character" w:customStyle="1" w:styleId="apple-converted-space">
    <w:name w:val="apple-converted-space"/>
    <w:basedOn w:val="Domylnaczcionkaakapitu"/>
    <w:rsid w:val="005C1E08"/>
  </w:style>
  <w:style w:type="character" w:styleId="Hipercze">
    <w:name w:val="Hyperlink"/>
    <w:basedOn w:val="Domylnaczcionkaakapitu"/>
    <w:uiPriority w:val="99"/>
    <w:unhideWhenUsed/>
    <w:rsid w:val="005C1E0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C1E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5C1E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E08"/>
    <w:rPr>
      <w:rFonts w:ascii="Tahoma" w:hAnsi="Tahoma" w:cs="Tahoma"/>
      <w:sz w:val="16"/>
      <w:szCs w:val="16"/>
    </w:rPr>
  </w:style>
  <w:style w:type="table" w:styleId="Jasnecieniowanieakcent2">
    <w:name w:val="Light Shading Accent 2"/>
    <w:basedOn w:val="Standardowy"/>
    <w:uiPriority w:val="60"/>
    <w:rsid w:val="00D503C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5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3</cp:revision>
  <dcterms:created xsi:type="dcterms:W3CDTF">2011-09-13T09:33:00Z</dcterms:created>
  <dcterms:modified xsi:type="dcterms:W3CDTF">2011-09-13T09:35:00Z</dcterms:modified>
</cp:coreProperties>
</file>