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69" w:rsidRDefault="00C61788" w:rsidP="00DD2917">
      <w:pPr>
        <w:spacing w:after="0" w:line="240" w:lineRule="auto"/>
        <w:jc w:val="both"/>
        <w:rPr>
          <w:rStyle w:val="apple-style-span"/>
          <w:rFonts w:ascii="Arial" w:hAnsi="Arial" w:cs="Arial"/>
          <w:sz w:val="20"/>
          <w:szCs w:val="20"/>
          <w:shd w:val="clear" w:color="auto" w:fill="FFFFFF"/>
        </w:rPr>
      </w:pPr>
      <w:r>
        <w:rPr>
          <w:rStyle w:val="apple-style-span"/>
          <w:rFonts w:ascii="Arial" w:hAnsi="Arial" w:cs="Arial"/>
          <w:b/>
          <w:sz w:val="20"/>
          <w:szCs w:val="20"/>
          <w:shd w:val="clear" w:color="auto" w:fill="FFFFFF"/>
        </w:rPr>
        <w:t xml:space="preserve">Duchowieństwo- 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Jako stan społeczny (a więc w innym sensie) duchowieństwo wyodrębniło się w Polsce w XIII wieku, kiedy arcybiskup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6" w:tooltip="Henryk Kietlicz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Henryk Kietlicz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uzyskał od książąt piastowskich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7" w:tooltip="Przywilej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przywileje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 borzykowski (</w:t>
      </w:r>
      <w:hyperlink r:id="rId8" w:tooltip="1210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1210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) i wolborski (</w:t>
      </w:r>
      <w:hyperlink r:id="rId9" w:tooltip="1215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1215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), nadające immunitety sądowy i podatkowy dobrom kościelnym. Tym samym Kościół w Polsce wyodrębnił się spod władzy książąt, zwolniony z podatków na rzecz państwa i poddany wyłącznie własnym sądom kościelnym. W średniowieczu duchowieństwo miało największy bezpośredni wpływ na ludność danego państwa, a pośredni poprzez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0" w:tooltip="Papież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papieża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i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1" w:tooltip="Biskup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biskupów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na króla i władców tego kraju. Przykładem może być pełnienie przez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2" w:tooltip="Prymas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prymasa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urzędu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3" w:tooltip="Interrex (Rzeczpospolita Obojga Narodów)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interrexa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. Od innych średniowiecznych stanów różnił się tym, że był zasilany wyłącznie przez osoby z innych stanów, a to ze względu na </w:t>
      </w:r>
      <w:r w:rsidRPr="00C61788">
        <w:rPr>
          <w:rStyle w:val="apple-style-span"/>
          <w:rFonts w:ascii="Arial" w:hAnsi="Arial" w:cs="Arial"/>
          <w:b/>
          <w:shd w:val="clear" w:color="auto" w:fill="FFFFFF"/>
        </w:rPr>
        <w:t>obowiązujący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 w Kościele rzymskokatolickim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4" w:tooltip="Celibat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celibat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</w:t>
      </w:r>
    </w:p>
    <w:p w:rsidR="00C61788" w:rsidRDefault="00C61788" w:rsidP="00DD2917">
      <w:pPr>
        <w:spacing w:after="0" w:line="240" w:lineRule="auto"/>
        <w:jc w:val="both"/>
        <w:rPr>
          <w:rStyle w:val="apple-style-span"/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Chłopi</w:t>
      </w:r>
      <w:r>
        <w:rPr>
          <w:rStyle w:val="apple-style-span"/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Style w:val="apple-style-spa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włościanie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–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5" w:tooltip="Warstwa społeczna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warstwa społeczna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zamieszkująca tereny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6" w:tooltip="Wieś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wiejskie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dominująca w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7" w:tooltip="Społeczeństwo tradycyjne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społeczeństwach przedprzemysłowych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zajmująca się produkcją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8" w:tooltip="Rolnictwo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rolną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Chłopów charakteryzuje odrębność warunków życia, obyczajów i tradycji, wynikająca z powiązania miejsca pracy z gospodarstwem domowym oraz uzależnienie procesu produkcji od warunków naturalnych. W przedindustrialnym społeczeństwie chłopi dzielili się na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19" w:tooltip="Gospodarz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gospodarzy</w:t>
        </w:r>
      </w:hyperlink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0" w:tooltip="Zagrodnik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zagrodników</w:t>
        </w:r>
      </w:hyperlink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C61788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i</w:t>
      </w:r>
      <w:r w:rsidRPr="00C61788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1" w:tooltip="Komornik (ekonomia)" w:history="1">
        <w:r w:rsidRPr="00C61788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komorników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W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2" w:tooltip="Cesarstwo Bizantyńskie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Bizancjum</w:t>
        </w:r>
      </w:hyperlink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, gdzie system niewolnictwa utrzymał się dłużej, wolne chłopstwo powstawało w wyniku kolonizacji </w:t>
      </w:r>
      <w:hyperlink r:id="rId23" w:tooltip="Słowianie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słowiańskiej</w:t>
        </w:r>
      </w:hyperlink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(od 2 poł. VI w.). Równocześnie rozkład wspólnoty rodowej w krajach germańskich i słowiańskich wchodził w ostatnią fazę, kształtowała się w nich indywidualna gospodarka chłopska. Podobnie jednak jak w starożytności, wolność chłopska nie okazała się trwała. .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4" w:tooltip="Klęska żywiołowa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Klęski żywiołowe</w:t>
        </w:r>
      </w:hyperlink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zniszczenia wojenne, ucisk fiskalny i powstawanie wielkich posiadłości skłaniał coraz częściej wolnych chłopów do rezygnacji z prawa własności ziemi na rzecz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5" w:tooltip="Kościół (organizacja)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kościoła</w:t>
        </w:r>
      </w:hyperlink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lub możniejszych sąsiadów, z zastrzeżeniem sobie tylko prawa użytkowania Utraciwszy własność ziemi, wolni dotąd chłopi stawali się zależni od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6" w:tooltip="Feudalizm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pana feudalnego</w:t>
        </w:r>
      </w:hyperlink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nie tylko jako od właściciela roli, którą użytkowali, ale także jako od przedstawiciela władzy publicznej – popadali więc w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7" w:tooltip="Poddaństwo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poddaństwo</w:t>
        </w:r>
      </w:hyperlink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</w:t>
      </w:r>
      <w:r w:rsidR="006B612E" w:rsidRPr="006B612E">
        <w:rPr>
          <w:rStyle w:val="apple-style-spa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6B612E">
        <w:rPr>
          <w:rStyle w:val="apple-style-spa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W ciągu XIII-XVI w. poddaństwo osobiste i sądowe ulegało kolejno </w:t>
      </w:r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likwidacji w północnych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8" w:tooltip="Włochy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Włoszech</w:t>
        </w:r>
      </w:hyperlink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29" w:tooltip="Królestwo Anglii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Anglii</w:t>
        </w:r>
      </w:hyperlink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</w:t>
      </w:r>
      <w:r w:rsidR="006B612E"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0" w:tooltip="Francja" w:history="1">
        <w:r w:rsidR="006B612E"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Francji</w:t>
        </w:r>
      </w:hyperlink>
      <w:r w:rsidR="006B612E"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Chłopi poddani zmieniali się formalnie w wolnych dzierżawców gruntu, co jednak nie uwalniało ich z zależności feudalnej, gdyż nadal byli zobowiązani do</w:t>
      </w:r>
      <w:r w:rsidR="006B612E">
        <w:rPr>
          <w:rStyle w:val="apple-style-span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świadczeń z racji użytkowania ziemi.</w:t>
      </w:r>
    </w:p>
    <w:p w:rsidR="006B612E" w:rsidRDefault="006B612E" w:rsidP="00DD2917">
      <w:pPr>
        <w:spacing w:after="0" w:line="240" w:lineRule="auto"/>
        <w:jc w:val="both"/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</w:pPr>
      <w:r>
        <w:rPr>
          <w:rStyle w:val="apple-style-span"/>
          <w:rFonts w:ascii="Arial" w:hAnsi="Arial" w:cs="Arial"/>
          <w:b/>
          <w:color w:val="000000"/>
          <w:shd w:val="clear" w:color="auto" w:fill="FFFFFF"/>
        </w:rPr>
        <w:t>Rycerstwo-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Rycerze posiadali specjalny status społeczny i byli przedstawicielami uprzywilejowanej warstwy feudalnej. Jako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1" w:tooltip="Wasal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wasale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– osoby podlegające zwierzchności swojego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2" w:tooltip="Suzeren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suwerena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zobowiązani byli do pełnienia służby wojskowej i do ochrony swojego pana w zamian za przywileje. Ich postępowanie opierało się na specjalnym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3" w:tooltip="Etos rycerski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etosie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z uwzględnieniem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4" w:tooltip="Kodeks rycerski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kodeksu rycerskiego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Godność rycerza była nadawana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5" w:tooltip="Giermek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giermkowi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podczas ceremonii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6" w:tooltip="Pasowanie na rycerz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pasowania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W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7" w:tooltip="XIII wiek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XIII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i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8" w:tooltip="XIV wiek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XIV wieku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rycerstwo przekształciło się w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39" w:tooltip="Szlacht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szlachtę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W większości państw europejskich tytuł rycerski stał się jednym z niższych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0" w:tooltip="Tytuły szlacheckie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tytułów szlacheckich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np. we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1" w:tooltip="Francj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Francji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jako –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  <w:t>chevalier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w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2" w:tooltip="Niemcy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Niemczech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i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3" w:tooltip="Austro-Węgry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Monarchii Austro</w:t>
        </w:r>
        <w:r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 xml:space="preserve"> </w:t>
        </w:r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-Węgierskiej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–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  <w:t>Ritter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w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4" w:tooltip="Wielka Brytani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Wielkiej Brytanii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–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  <w:t>knight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W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5" w:tooltip="Polsk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Polsce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z uwagi na zasadę równości szlacheckiej rycerstwem tytułowano ogół szlachty, stosując też określenia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6" w:tooltip="Kawaler (tytuł szlachecki)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kawaler (tytuł szlachecki)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lub formę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7" w:tooltip="Łacina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łacińską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–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  <w:t>equitus</w:t>
      </w:r>
    </w:p>
    <w:p w:rsidR="006B612E" w:rsidRPr="006B612E" w:rsidRDefault="006B612E" w:rsidP="00DD2917">
      <w:pPr>
        <w:spacing w:after="0" w:line="240" w:lineRule="auto"/>
        <w:jc w:val="both"/>
      </w:pPr>
      <w:r w:rsidRPr="006B612E">
        <w:rPr>
          <w:rStyle w:val="apple-style-span"/>
          <w:rFonts w:ascii="Arial" w:hAnsi="Arial" w:cs="Arial"/>
          <w:b/>
          <w:bCs/>
          <w:sz w:val="20"/>
          <w:szCs w:val="20"/>
          <w:shd w:val="clear" w:color="auto" w:fill="FFFFFF"/>
        </w:rPr>
        <w:t>Szlachta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(z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8" w:tooltip="Język niemiecki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niem.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i/>
          <w:iCs/>
          <w:sz w:val="20"/>
          <w:szCs w:val="20"/>
          <w:shd w:val="clear" w:color="auto" w:fill="FFFFFF"/>
        </w:rPr>
        <w:t>Geschlecht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- ród) – wyższa warstwa społeczna, wywodząca się ze stanu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49" w:tooltip="Rycerstwo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rycerskiego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w</w:t>
      </w:r>
      <w:r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 </w:t>
      </w:r>
      <w:hyperlink r:id="rId50" w:tooltip="Feudalizm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społeczeństwie feudalnym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. Podstawową cechą przynależności do szlachty było posiadanie odrębnego statusu prawnego, a symboliczną manifestacją przynależności do danego</w:t>
      </w:r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hyperlink r:id="rId51" w:tooltip="Ród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rodu</w:t>
        </w:r>
      </w:hyperlink>
      <w:r w:rsidRPr="006B612E">
        <w:rPr>
          <w:rStyle w:val="apple-converted-space"/>
          <w:rFonts w:ascii="Arial" w:hAnsi="Arial" w:cs="Arial"/>
          <w:sz w:val="20"/>
          <w:szCs w:val="20"/>
          <w:shd w:val="clear" w:color="auto" w:fill="FFFFFF"/>
        </w:rPr>
        <w:t> </w:t>
      </w:r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było prawo do używania </w:t>
      </w:r>
      <w:hyperlink r:id="rId52" w:tooltip="Herb" w:history="1">
        <w:r w:rsidRPr="006B612E">
          <w:rPr>
            <w:rStyle w:val="Hipercze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herbu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 xml:space="preserve">. Szlachta posiadała odrębną od pozostałych warstw społecznych kulturę, wyrażającą się strojem, językiem, literaturą, sposobem życia. Istnienie przywilejów prawnych, takich jak prawo do noszenia broni, prawo do posiadania ziemi i nienaruszalności majątku, prawa do pełnienia urzędów czy prawa wyborcze, zależne było od prawa danego kraju i przywilejów danego szlachcica. Istniały grupy społeczne posiadające herby, ale nie posiadające formalnego tytułu szlacheckiego, pretendujące do kategorii "niższa szlachta", jak np. angielska </w:t>
      </w:r>
      <w:hyperlink r:id="rId53" w:tooltip="Gentry" w:history="1">
        <w:r w:rsidRPr="006B612E">
          <w:rPr>
            <w:rStyle w:val="Hipercze"/>
            <w:rFonts w:ascii="Arial" w:hAnsi="Arial" w:cs="Arial"/>
            <w:i/>
            <w:iCs/>
            <w:color w:val="auto"/>
            <w:sz w:val="20"/>
            <w:szCs w:val="20"/>
            <w:u w:val="none"/>
            <w:shd w:val="clear" w:color="auto" w:fill="FFFFFF"/>
          </w:rPr>
          <w:t>gentry</w:t>
        </w:r>
      </w:hyperlink>
      <w:r w:rsidRPr="006B612E">
        <w:rPr>
          <w:rStyle w:val="apple-style-span"/>
          <w:rFonts w:ascii="Arial" w:hAnsi="Arial" w:cs="Arial"/>
          <w:sz w:val="20"/>
          <w:szCs w:val="20"/>
          <w:shd w:val="clear" w:color="auto" w:fill="FFFFFF"/>
        </w:rPr>
        <w:t>, grupa posiadająca prawo posiadania ziemi. Większość przywilejów, łącznie z tytułem szlacheckim, była dziedziczona w linii męskiej. Znane jest także szlachectwo osobiste bez prawa dziedziczenia obok osobistych tytułów honorowych dostępnych wyłącznie dla szlachty dziedzicznej (jak miało to miejsce w Polsce).</w:t>
      </w:r>
    </w:p>
    <w:p w:rsidR="006B612E" w:rsidRDefault="006B612E" w:rsidP="00DD2917">
      <w:pPr>
        <w:spacing w:after="0" w:line="240" w:lineRule="auto"/>
        <w:jc w:val="both"/>
      </w:pP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pl-PL"/>
        </w:rPr>
        <w:t>Grupy formalne</w:t>
      </w: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color w:val="000000"/>
          <w:sz w:val="18"/>
          <w:szCs w:val="18"/>
          <w:u w:val="single"/>
          <w:lang w:eastAsia="pl-PL"/>
        </w:rPr>
        <w:t>Cechy grup formalnych:</w:t>
      </w:r>
    </w:p>
    <w:p w:rsidR="006B612E" w:rsidRPr="006B612E" w:rsidRDefault="006B612E" w:rsidP="00DD291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posiadają ściśle określona sformalizowane strukturę</w:t>
      </w:r>
    </w:p>
    <w:p w:rsidR="006B612E" w:rsidRPr="006B612E" w:rsidRDefault="006B612E" w:rsidP="00DD291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są powołane w wyniku aktu prawnego</w:t>
      </w:r>
    </w:p>
    <w:p w:rsidR="006B612E" w:rsidRPr="006B612E" w:rsidRDefault="006B612E" w:rsidP="00DD291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cele i zasady działania określają przepisy prawne</w:t>
      </w:r>
    </w:p>
    <w:p w:rsidR="006B612E" w:rsidRPr="006B612E" w:rsidRDefault="006B612E" w:rsidP="00DD291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możliwe jest stosowanie sankcji wobec członków</w:t>
      </w: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Przykłady grup formalnych: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szkoła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wojsko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związek zawodowy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partia polityczna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stowarzyszenie</w:t>
      </w:r>
    </w:p>
    <w:p w:rsidR="006B612E" w:rsidRPr="006B612E" w:rsidRDefault="006B612E" w:rsidP="00DD291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administracja</w:t>
      </w: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Grupy nieformalne</w:t>
      </w: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lastRenderedPageBreak/>
        <w:t>Cechy grup nieformalnych:</w:t>
      </w:r>
    </w:p>
    <w:p w:rsidR="006B612E" w:rsidRPr="006B612E" w:rsidRDefault="006B612E" w:rsidP="00DD291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tworzą się spontanicznie, bez stosowania procedur i formalności</w:t>
      </w:r>
    </w:p>
    <w:p w:rsidR="006B612E" w:rsidRPr="006B612E" w:rsidRDefault="006B612E" w:rsidP="00DD291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nie mają sformalizowanej struktury</w:t>
      </w:r>
    </w:p>
    <w:p w:rsidR="006B612E" w:rsidRPr="006B612E" w:rsidRDefault="006B612E" w:rsidP="00DD291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nie posiadają wewnętrznych przepisów prawnych</w:t>
      </w:r>
    </w:p>
    <w:p w:rsidR="006B612E" w:rsidRPr="006B612E" w:rsidRDefault="006B612E" w:rsidP="00DD291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opierają się na wewnętrznych relacjach pomiędzy członkami</w:t>
      </w:r>
    </w:p>
    <w:p w:rsidR="006B612E" w:rsidRPr="006B612E" w:rsidRDefault="006B612E" w:rsidP="00DD291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tworzą się za względu na wspólne zainteresowania, sposób spędzania czasu lub poglądy</w:t>
      </w:r>
    </w:p>
    <w:p w:rsidR="006B612E" w:rsidRPr="006B612E" w:rsidRDefault="006B612E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6B612E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Przykłady grup nieformalnych:</w:t>
      </w:r>
    </w:p>
    <w:p w:rsidR="006B612E" w:rsidRPr="006B612E" w:rsidRDefault="006B612E" w:rsidP="00DD291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grupa koleżeńska</w:t>
      </w:r>
    </w:p>
    <w:p w:rsidR="006B612E" w:rsidRPr="006B612E" w:rsidRDefault="006B612E" w:rsidP="00DD291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kółka zainteresowań</w:t>
      </w:r>
    </w:p>
    <w:p w:rsidR="006B612E" w:rsidRPr="006B612E" w:rsidRDefault="006B612E" w:rsidP="00DD291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krąg znajomych</w:t>
      </w:r>
    </w:p>
    <w:p w:rsidR="006B612E" w:rsidRPr="006B612E" w:rsidRDefault="006B612E" w:rsidP="00DD291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gangi</w:t>
      </w:r>
    </w:p>
    <w:p w:rsidR="006B612E" w:rsidRPr="006B612E" w:rsidRDefault="006B612E" w:rsidP="00DD291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6B612E">
        <w:rPr>
          <w:rFonts w:ascii="Tahoma" w:eastAsia="Times New Roman" w:hAnsi="Tahoma" w:cs="Tahoma"/>
          <w:sz w:val="20"/>
          <w:szCs w:val="20"/>
          <w:lang w:eastAsia="pl-PL"/>
        </w:rPr>
        <w:t>klany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Grupy zamknięte (ekskluzywne)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Cechy grup zamkniętych:</w:t>
      </w:r>
    </w:p>
    <w:p w:rsidR="00D51175" w:rsidRPr="00D51175" w:rsidRDefault="00D51175" w:rsidP="00DD291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przynależności jednostki decyduje spełnienie przez nią określonych kryteriów np. majątek, wykształcenie lub poświęcenie</w:t>
      </w:r>
      <w:r w:rsidRPr="00D51175">
        <w:rPr>
          <w:rFonts w:ascii="Tahoma" w:eastAsia="Times New Roman" w:hAnsi="Tahoma" w:cs="Tahoma"/>
          <w:b/>
          <w:bCs/>
          <w:sz w:val="20"/>
          <w:lang w:eastAsia="pl-PL"/>
        </w:rPr>
        <w:t> </w:t>
      </w: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i oddanie.</w:t>
      </w:r>
    </w:p>
    <w:p w:rsidR="00D51175" w:rsidRPr="00D51175" w:rsidRDefault="00D51175" w:rsidP="00DD291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do niektórych grup zamkniętych można należeć automatycznie np. przez urodzenie.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Przykłady grup zamkniętych:</w:t>
      </w:r>
    </w:p>
    <w:p w:rsidR="00D51175" w:rsidRPr="00D51175" w:rsidRDefault="00D51175" w:rsidP="00DD291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stowarzyszenie biznesowe</w:t>
      </w:r>
      <w:r w:rsidRPr="00D51175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.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Grupy otwarte (inkluzywne)</w:t>
      </w:r>
    </w:p>
    <w:p w:rsidR="00D51175" w:rsidRPr="00D51175" w:rsidRDefault="00D51175" w:rsidP="00DD291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przynależności decyduje wola jednostki lub polityka prowadzona przez ta grupę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Grupy małe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Cechy grup małych:</w:t>
      </w:r>
    </w:p>
    <w:p w:rsidR="00D51175" w:rsidRPr="00D51175" w:rsidRDefault="00D51175" w:rsidP="00DD291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posiadają prosta strukturę wewnętrzną</w:t>
      </w:r>
    </w:p>
    <w:p w:rsidR="00D51175" w:rsidRPr="00D51175" w:rsidRDefault="00D51175" w:rsidP="00DD291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nie występuje podział na mniejsze podgrupy</w:t>
      </w:r>
    </w:p>
    <w:p w:rsidR="00D51175" w:rsidRPr="00D51175" w:rsidRDefault="00D51175" w:rsidP="00DD291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stosunki pomiędzy członkami są bardziej bezpośrednie i osobiste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Przykłady grup małych:</w:t>
      </w:r>
    </w:p>
    <w:p w:rsidR="00D51175" w:rsidRPr="00D51175" w:rsidRDefault="00D51175" w:rsidP="00DD291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szkolny zespół baletowy</w:t>
      </w:r>
    </w:p>
    <w:p w:rsidR="00D51175" w:rsidRPr="00D51175" w:rsidRDefault="00D51175" w:rsidP="00DD291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rodzina</w:t>
      </w:r>
    </w:p>
    <w:p w:rsidR="00D51175" w:rsidRPr="00D51175" w:rsidRDefault="00D51175" w:rsidP="00DD291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społeczność lokalna</w:t>
      </w:r>
    </w:p>
    <w:p w:rsidR="00D51175" w:rsidRPr="00D51175" w:rsidRDefault="00D51175" w:rsidP="00DD291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grupa rówieśnicza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b/>
          <w:bCs/>
          <w:sz w:val="18"/>
          <w:szCs w:val="18"/>
          <w:lang w:eastAsia="pl-PL"/>
        </w:rPr>
        <w:t>Grupy duże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Cechy grup dużych:</w:t>
      </w:r>
    </w:p>
    <w:p w:rsidR="00D51175" w:rsidRPr="00D51175" w:rsidRDefault="00D51175" w:rsidP="00DD291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posiadają rozbudowaną strukturę wewnętrzną</w:t>
      </w:r>
    </w:p>
    <w:p w:rsidR="00D51175" w:rsidRPr="00D51175" w:rsidRDefault="00D51175" w:rsidP="00DD291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wewnątrz grupy istnieje wiele podgrup</w:t>
      </w:r>
    </w:p>
    <w:p w:rsidR="00D51175" w:rsidRPr="00D51175" w:rsidRDefault="00D51175" w:rsidP="00DD291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członkowie nie zawsze znają się osobiście</w:t>
      </w:r>
    </w:p>
    <w:p w:rsidR="00D51175" w:rsidRPr="00D51175" w:rsidRDefault="00D51175" w:rsidP="00DD2917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przynależność do grupy jest pośrednia np. przez małe grupy</w:t>
      </w: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:rsidR="00D51175" w:rsidRPr="00D51175" w:rsidRDefault="00D51175" w:rsidP="00DD2917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Przykłady dużych</w:t>
      </w:r>
      <w:r w:rsidRPr="00D51175">
        <w:rPr>
          <w:rFonts w:ascii="Verdana" w:eastAsia="Times New Roman" w:hAnsi="Verdana" w:cs="Times New Roman"/>
          <w:sz w:val="18"/>
          <w:u w:val="single"/>
          <w:lang w:eastAsia="pl-PL"/>
        </w:rPr>
        <w:t> </w:t>
      </w:r>
      <w:r w:rsidRPr="00D51175">
        <w:rPr>
          <w:rFonts w:ascii="Verdana" w:eastAsia="Times New Roman" w:hAnsi="Verdana" w:cs="Times New Roman"/>
          <w:sz w:val="18"/>
          <w:szCs w:val="18"/>
          <w:u w:val="single"/>
          <w:lang w:eastAsia="pl-PL"/>
        </w:rPr>
        <w:t>grup:</w:t>
      </w:r>
    </w:p>
    <w:p w:rsidR="00D51175" w:rsidRPr="00D51175" w:rsidRDefault="00D51175" w:rsidP="00DD291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plemienne</w:t>
      </w:r>
    </w:p>
    <w:p w:rsidR="00D51175" w:rsidRPr="00D51175" w:rsidRDefault="00D51175" w:rsidP="00DD291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narodowe</w:t>
      </w:r>
    </w:p>
    <w:p w:rsidR="00D51175" w:rsidRPr="00D51175" w:rsidRDefault="00D51175" w:rsidP="00DD291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religijne</w:t>
      </w:r>
    </w:p>
    <w:p w:rsidR="00D51175" w:rsidRPr="00D51175" w:rsidRDefault="00D51175" w:rsidP="00DD2917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D51175">
        <w:rPr>
          <w:rFonts w:ascii="Tahoma" w:eastAsia="Times New Roman" w:hAnsi="Tahoma" w:cs="Tahoma"/>
          <w:sz w:val="20"/>
          <w:szCs w:val="20"/>
          <w:lang w:eastAsia="pl-PL"/>
        </w:rPr>
        <w:t>partie polityczne</w:t>
      </w:r>
    </w:p>
    <w:p w:rsidR="006B612E" w:rsidRPr="00D51175" w:rsidRDefault="006B612E">
      <w:pPr>
        <w:ind w:left="-851"/>
      </w:pPr>
    </w:p>
    <w:sectPr w:rsidR="006B612E" w:rsidRPr="00D51175" w:rsidSect="00DD2917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A70EC"/>
    <w:multiLevelType w:val="multilevel"/>
    <w:tmpl w:val="A290F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FE2F9C"/>
    <w:multiLevelType w:val="multilevel"/>
    <w:tmpl w:val="6340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F047D"/>
    <w:multiLevelType w:val="multilevel"/>
    <w:tmpl w:val="D7883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B7109B"/>
    <w:multiLevelType w:val="multilevel"/>
    <w:tmpl w:val="8A6E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6B6611"/>
    <w:multiLevelType w:val="multilevel"/>
    <w:tmpl w:val="D400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813C7E"/>
    <w:multiLevelType w:val="multilevel"/>
    <w:tmpl w:val="BE6A8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CD1D0E"/>
    <w:multiLevelType w:val="multilevel"/>
    <w:tmpl w:val="966C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391669"/>
    <w:multiLevelType w:val="multilevel"/>
    <w:tmpl w:val="DE2A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EC3FEB"/>
    <w:multiLevelType w:val="multilevel"/>
    <w:tmpl w:val="A572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5D495A"/>
    <w:multiLevelType w:val="multilevel"/>
    <w:tmpl w:val="9874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D24B09"/>
    <w:multiLevelType w:val="multilevel"/>
    <w:tmpl w:val="C4FE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1788"/>
    <w:rsid w:val="006B612E"/>
    <w:rsid w:val="00794669"/>
    <w:rsid w:val="00C61788"/>
    <w:rsid w:val="00D51175"/>
    <w:rsid w:val="00DD2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46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C61788"/>
  </w:style>
  <w:style w:type="character" w:customStyle="1" w:styleId="apple-converted-space">
    <w:name w:val="apple-converted-space"/>
    <w:basedOn w:val="Domylnaczcionkaakapitu"/>
    <w:rsid w:val="00C61788"/>
  </w:style>
  <w:style w:type="character" w:styleId="Hipercze">
    <w:name w:val="Hyperlink"/>
    <w:basedOn w:val="Domylnaczcionkaakapitu"/>
    <w:uiPriority w:val="99"/>
    <w:semiHidden/>
    <w:unhideWhenUsed/>
    <w:rsid w:val="00C6178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B6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3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l.wikipedia.org/wiki/Interrex_(Rzeczpospolita_Obojga_Narod%C3%B3w)" TargetMode="External"/><Relationship Id="rId18" Type="http://schemas.openxmlformats.org/officeDocument/2006/relationships/hyperlink" Target="http://pl.wikipedia.org/wiki/Rolnictwo" TargetMode="External"/><Relationship Id="rId26" Type="http://schemas.openxmlformats.org/officeDocument/2006/relationships/hyperlink" Target="http://pl.wikipedia.org/wiki/Feudalizm" TargetMode="External"/><Relationship Id="rId39" Type="http://schemas.openxmlformats.org/officeDocument/2006/relationships/hyperlink" Target="http://pl.wikipedia.org/wiki/Szlachta" TargetMode="External"/><Relationship Id="rId21" Type="http://schemas.openxmlformats.org/officeDocument/2006/relationships/hyperlink" Target="http://pl.wikipedia.org/wiki/Komornik_(ekonomia)" TargetMode="External"/><Relationship Id="rId34" Type="http://schemas.openxmlformats.org/officeDocument/2006/relationships/hyperlink" Target="http://pl.wikipedia.org/wiki/Kodeks_rycerski" TargetMode="External"/><Relationship Id="rId42" Type="http://schemas.openxmlformats.org/officeDocument/2006/relationships/hyperlink" Target="http://pl.wikipedia.org/wiki/Niemcy" TargetMode="External"/><Relationship Id="rId47" Type="http://schemas.openxmlformats.org/officeDocument/2006/relationships/hyperlink" Target="http://pl.wikipedia.org/wiki/%C5%81acina" TargetMode="External"/><Relationship Id="rId50" Type="http://schemas.openxmlformats.org/officeDocument/2006/relationships/hyperlink" Target="http://pl.wikipedia.org/wiki/Feudalizm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pl.wikipedia.org/wiki/Przywilej" TargetMode="External"/><Relationship Id="rId12" Type="http://schemas.openxmlformats.org/officeDocument/2006/relationships/hyperlink" Target="http://pl.wikipedia.org/wiki/Prymas" TargetMode="External"/><Relationship Id="rId17" Type="http://schemas.openxmlformats.org/officeDocument/2006/relationships/hyperlink" Target="http://pl.wikipedia.org/wiki/Spo%C5%82ecze%C5%84stwo_tradycyjne" TargetMode="External"/><Relationship Id="rId25" Type="http://schemas.openxmlformats.org/officeDocument/2006/relationships/hyperlink" Target="http://pl.wikipedia.org/wiki/Ko%C5%9Bci%C3%B3%C5%82_(organizacja)" TargetMode="External"/><Relationship Id="rId33" Type="http://schemas.openxmlformats.org/officeDocument/2006/relationships/hyperlink" Target="http://pl.wikipedia.org/wiki/Etos_rycerski" TargetMode="External"/><Relationship Id="rId38" Type="http://schemas.openxmlformats.org/officeDocument/2006/relationships/hyperlink" Target="http://pl.wikipedia.org/wiki/XIV_wiek" TargetMode="External"/><Relationship Id="rId46" Type="http://schemas.openxmlformats.org/officeDocument/2006/relationships/hyperlink" Target="http://pl.wikipedia.org/wiki/Kawaler_(tytu%C5%82_szlachecki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l.wikipedia.org/wiki/Wie%C5%9B" TargetMode="External"/><Relationship Id="rId20" Type="http://schemas.openxmlformats.org/officeDocument/2006/relationships/hyperlink" Target="http://pl.wikipedia.org/wiki/Zagrodnik" TargetMode="External"/><Relationship Id="rId29" Type="http://schemas.openxmlformats.org/officeDocument/2006/relationships/hyperlink" Target="http://pl.wikipedia.org/wiki/Kr%C3%B3lestwo_Anglii" TargetMode="External"/><Relationship Id="rId41" Type="http://schemas.openxmlformats.org/officeDocument/2006/relationships/hyperlink" Target="http://pl.wikipedia.org/wiki/Francja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pl.wikipedia.org/wiki/Henryk_Kietlicz" TargetMode="External"/><Relationship Id="rId11" Type="http://schemas.openxmlformats.org/officeDocument/2006/relationships/hyperlink" Target="http://pl.wikipedia.org/wiki/Biskup" TargetMode="External"/><Relationship Id="rId24" Type="http://schemas.openxmlformats.org/officeDocument/2006/relationships/hyperlink" Target="http://pl.wikipedia.org/wiki/Kl%C4%99ska_%C5%BCywio%C5%82owa" TargetMode="External"/><Relationship Id="rId32" Type="http://schemas.openxmlformats.org/officeDocument/2006/relationships/hyperlink" Target="http://pl.wikipedia.org/wiki/Suzeren" TargetMode="External"/><Relationship Id="rId37" Type="http://schemas.openxmlformats.org/officeDocument/2006/relationships/hyperlink" Target="http://pl.wikipedia.org/wiki/XIII_wiek" TargetMode="External"/><Relationship Id="rId40" Type="http://schemas.openxmlformats.org/officeDocument/2006/relationships/hyperlink" Target="http://pl.wikipedia.org/wiki/Tytu%C5%82y_szlacheckie" TargetMode="External"/><Relationship Id="rId45" Type="http://schemas.openxmlformats.org/officeDocument/2006/relationships/hyperlink" Target="http://pl.wikipedia.org/wiki/Polska" TargetMode="External"/><Relationship Id="rId53" Type="http://schemas.openxmlformats.org/officeDocument/2006/relationships/hyperlink" Target="http://pl.wikipedia.org/wiki/Gentr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l.wikipedia.org/wiki/Warstwa_spo%C5%82eczna" TargetMode="External"/><Relationship Id="rId23" Type="http://schemas.openxmlformats.org/officeDocument/2006/relationships/hyperlink" Target="http://pl.wikipedia.org/wiki/S%C5%82owianie" TargetMode="External"/><Relationship Id="rId28" Type="http://schemas.openxmlformats.org/officeDocument/2006/relationships/hyperlink" Target="http://pl.wikipedia.org/wiki/W%C5%82ochy" TargetMode="External"/><Relationship Id="rId36" Type="http://schemas.openxmlformats.org/officeDocument/2006/relationships/hyperlink" Target="http://pl.wikipedia.org/wiki/Pasowanie_na_rycerza" TargetMode="External"/><Relationship Id="rId49" Type="http://schemas.openxmlformats.org/officeDocument/2006/relationships/hyperlink" Target="http://pl.wikipedia.org/wiki/Rycerstwo" TargetMode="External"/><Relationship Id="rId10" Type="http://schemas.openxmlformats.org/officeDocument/2006/relationships/hyperlink" Target="http://pl.wikipedia.org/wiki/Papie%C5%BC" TargetMode="External"/><Relationship Id="rId19" Type="http://schemas.openxmlformats.org/officeDocument/2006/relationships/hyperlink" Target="http://pl.wikipedia.org/wiki/Gospodarz" TargetMode="External"/><Relationship Id="rId31" Type="http://schemas.openxmlformats.org/officeDocument/2006/relationships/hyperlink" Target="http://pl.wikipedia.org/wiki/Wasal" TargetMode="External"/><Relationship Id="rId44" Type="http://schemas.openxmlformats.org/officeDocument/2006/relationships/hyperlink" Target="http://pl.wikipedia.org/wiki/Wielka_Brytania" TargetMode="External"/><Relationship Id="rId52" Type="http://schemas.openxmlformats.org/officeDocument/2006/relationships/hyperlink" Target="http://pl.wikipedia.org/wiki/Her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l.wikipedia.org/wiki/1215" TargetMode="External"/><Relationship Id="rId14" Type="http://schemas.openxmlformats.org/officeDocument/2006/relationships/hyperlink" Target="http://pl.wikipedia.org/wiki/Celibat" TargetMode="External"/><Relationship Id="rId22" Type="http://schemas.openxmlformats.org/officeDocument/2006/relationships/hyperlink" Target="http://pl.wikipedia.org/wiki/Cesarstwo_Bizanty%C5%84skie" TargetMode="External"/><Relationship Id="rId27" Type="http://schemas.openxmlformats.org/officeDocument/2006/relationships/hyperlink" Target="http://pl.wikipedia.org/wiki/Podda%C5%84stwo" TargetMode="External"/><Relationship Id="rId30" Type="http://schemas.openxmlformats.org/officeDocument/2006/relationships/hyperlink" Target="http://pl.wikipedia.org/wiki/Francja" TargetMode="External"/><Relationship Id="rId35" Type="http://schemas.openxmlformats.org/officeDocument/2006/relationships/hyperlink" Target="http://pl.wikipedia.org/wiki/Giermek" TargetMode="External"/><Relationship Id="rId43" Type="http://schemas.openxmlformats.org/officeDocument/2006/relationships/hyperlink" Target="http://pl.wikipedia.org/wiki/Austro-W%C4%99gry" TargetMode="External"/><Relationship Id="rId48" Type="http://schemas.openxmlformats.org/officeDocument/2006/relationships/hyperlink" Target="http://pl.wikipedia.org/wiki/J%C4%99zyk_niemiecki" TargetMode="External"/><Relationship Id="rId8" Type="http://schemas.openxmlformats.org/officeDocument/2006/relationships/hyperlink" Target="http://pl.wikipedia.org/wiki/1210" TargetMode="External"/><Relationship Id="rId51" Type="http://schemas.openxmlformats.org/officeDocument/2006/relationships/hyperlink" Target="http://pl.wikipedia.org/wiki/R%C3%B3d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DFA96-9D01-44D9-9BEB-6CFB8EFA6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1410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2011-09-02T18:18:00Z</dcterms:created>
  <dcterms:modified xsi:type="dcterms:W3CDTF">2011-09-02T19:00:00Z</dcterms:modified>
</cp:coreProperties>
</file>